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58" w:rsidRDefault="00F72C58" w:rsidP="00277935">
      <w:pPr>
        <w:pStyle w:val="a3"/>
        <w:jc w:val="right"/>
        <w:divId w:val="1147472722"/>
      </w:pPr>
      <w:r>
        <w:rPr>
          <w:rStyle w:val="a4"/>
        </w:rPr>
        <w:t>ՆԱԽԱԳԻԾ 02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F72C58">
        <w:trPr>
          <w:divId w:val="1147472722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72C58" w:rsidRDefault="00F72C5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2C58" w:rsidRDefault="00F72C58" w:rsidP="00277935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ՀԱՅԱՍՏԱՆԻ ՀԱՆՐԱՊԵՏՈՒԹՅԱՆ ՍՅՈՒՆԻՔԻ ՄԱՐԶԻ ԳՈՐԻՍ ՀԱՄԱՅՆՔԻ ԳՈՐԻՍ ՔԱՂԱՔԻ ԳԼԽԱՎՈՐ ՀԱՏԱԿԱԳԾՈՒՄ ՓՈՓՈԽՈՒԹՅՈՒՆ ԿԱՏԱՐԵԼՈՒ, ՀՈՂԱՄԱՍԻ ՆՊԱՏԱԿԱՅԻՆ ՆՇԱՆԱԿՈՒԹՅՈՒՆԸ ՓՈԽԵԼՈՒ ՄԱՍԻՆ</w:t>
            </w:r>
            <w:r>
              <w:t> </w:t>
            </w:r>
          </w:p>
        </w:tc>
      </w:tr>
      <w:tr w:rsidR="00F72C58">
        <w:trPr>
          <w:divId w:val="11474727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72C58" w:rsidRDefault="00F72C5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2C58" w:rsidRDefault="00F72C5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72C58">
        <w:trPr>
          <w:divId w:val="11474727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72C58" w:rsidRDefault="00F72C5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2C58" w:rsidRDefault="00F72C58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F72C58" w:rsidRDefault="00F72C58">
      <w:pPr>
        <w:pStyle w:val="a3"/>
        <w:jc w:val="both"/>
        <w:divId w:val="1391881722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29-րդ </w:t>
      </w:r>
      <w:proofErr w:type="spellStart"/>
      <w:r>
        <w:t>կետով</w:t>
      </w:r>
      <w:proofErr w:type="spellEnd"/>
      <w:r>
        <w:t>,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3-րդ և 63-րդ </w:t>
      </w:r>
      <w:proofErr w:type="spellStart"/>
      <w:r>
        <w:t>հոդվածներով</w:t>
      </w:r>
      <w:proofErr w:type="spellEnd"/>
      <w:r>
        <w:t>, «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143–րդ </w:t>
      </w:r>
      <w:proofErr w:type="spellStart"/>
      <w:r>
        <w:t>հոդվածով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2011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29 </w:t>
      </w:r>
      <w:proofErr w:type="spellStart"/>
      <w:r>
        <w:t>թիվ</w:t>
      </w:r>
      <w:proofErr w:type="spellEnd"/>
      <w:r>
        <w:t xml:space="preserve"> 1920-Ն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վարչապետի</w:t>
      </w:r>
      <w:proofErr w:type="spellEnd"/>
      <w:r>
        <w:t xml:space="preserve"> 2009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22-ի </w:t>
      </w:r>
      <w:proofErr w:type="spellStart"/>
      <w:r>
        <w:t>թիվ</w:t>
      </w:r>
      <w:proofErr w:type="spellEnd"/>
      <w:r>
        <w:t xml:space="preserve"> 1064-Ա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ստեղծված</w:t>
      </w:r>
      <w:proofErr w:type="spellEnd"/>
      <w:r>
        <w:t xml:space="preserve"> ՀՀ </w:t>
      </w:r>
      <w:proofErr w:type="spellStart"/>
      <w:r>
        <w:t>համայնքների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ծրագրային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մշակման</w:t>
      </w:r>
      <w:proofErr w:type="spellEnd"/>
      <w:r>
        <w:t xml:space="preserve"> </w:t>
      </w:r>
      <w:proofErr w:type="spellStart"/>
      <w:r>
        <w:t>միջգերատեսչական</w:t>
      </w:r>
      <w:proofErr w:type="spellEnd"/>
      <w:r>
        <w:t xml:space="preserve"> </w:t>
      </w:r>
      <w:proofErr w:type="spellStart"/>
      <w:r>
        <w:t>հանձնաժողովի</w:t>
      </w:r>
      <w:proofErr w:type="spellEnd"/>
      <w:r>
        <w:t xml:space="preserve"> 2023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մարտի</w:t>
      </w:r>
      <w:proofErr w:type="spellEnd"/>
      <w:r>
        <w:t xml:space="preserve"> 31-ի N 2/փ 92 </w:t>
      </w:r>
      <w:proofErr w:type="spellStart"/>
      <w:r>
        <w:t>դրական</w:t>
      </w:r>
      <w:proofErr w:type="spellEnd"/>
      <w:r>
        <w:t xml:space="preserve"> </w:t>
      </w:r>
      <w:proofErr w:type="spellStart"/>
      <w:r>
        <w:t>եզրակացությունը</w:t>
      </w:r>
      <w:proofErr w:type="spellEnd"/>
    </w:p>
    <w:p w:rsidR="00F72C58" w:rsidRDefault="00F72C58">
      <w:pPr>
        <w:pStyle w:val="a3"/>
        <w:jc w:val="center"/>
        <w:divId w:val="1147472722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F72C58" w:rsidRDefault="00F72C58" w:rsidP="00F72C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332808145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  <w:proofErr w:type="spellStart"/>
      <w:r>
        <w:rPr>
          <w:rFonts w:ascii="Tahoma" w:eastAsia="Times New Roman" w:hAnsi="Tahoma" w:cs="Tahoma"/>
        </w:rPr>
        <w:t>Հայաստանի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Հանրապետության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Սյունիքի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մարզի</w:t>
      </w:r>
      <w:proofErr w:type="spellEnd"/>
      <w:r>
        <w:rPr>
          <w:rFonts w:ascii="Tahoma" w:eastAsia="Times New Roman" w:hAnsi="Tahoma" w:cs="Tahoma"/>
        </w:rPr>
        <w:t> </w:t>
      </w:r>
      <w:proofErr w:type="spellStart"/>
      <w:r>
        <w:rPr>
          <w:rFonts w:ascii="Tahoma" w:eastAsia="Times New Roman" w:hAnsi="Tahoma" w:cs="Tahoma"/>
        </w:rPr>
        <w:t>Գորիս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քաղաքի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գլխավոր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հատակագծում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կատարել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փոփոխություն</w:t>
      </w:r>
      <w:proofErr w:type="spellEnd"/>
      <w:r>
        <w:rPr>
          <w:rFonts w:ascii="Tahoma" w:eastAsia="Times New Roman" w:hAnsi="Tahoma" w:cs="Tahoma"/>
        </w:rPr>
        <w:t xml:space="preserve"> և </w:t>
      </w:r>
      <w:proofErr w:type="spellStart"/>
      <w:r>
        <w:rPr>
          <w:rFonts w:ascii="Tahoma" w:eastAsia="Times New Roman" w:hAnsi="Tahoma" w:cs="Tahoma"/>
        </w:rPr>
        <w:t>Գորիս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համայնքի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սեփականություն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հանդիսացող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Գորիս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քաղաքի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Գետափնյա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թաղամասում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գտնվող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Էներգետիկայի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կապի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տրանսպորտի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կոմունալ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ենթակառուցվածքների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օբյեկտների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հողերից</w:t>
      </w:r>
      <w:proofErr w:type="spellEnd"/>
      <w:r>
        <w:rPr>
          <w:rFonts w:ascii="Tahoma" w:eastAsia="Times New Roman" w:hAnsi="Tahoma" w:cs="Tahoma"/>
        </w:rPr>
        <w:t xml:space="preserve"> «</w:t>
      </w:r>
      <w:proofErr w:type="spellStart"/>
      <w:r>
        <w:rPr>
          <w:rFonts w:ascii="Tahoma" w:eastAsia="Times New Roman" w:hAnsi="Tahoma" w:cs="Tahoma"/>
        </w:rPr>
        <w:t>կոմունալ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ենթակառուցվածքներ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օբյեկտների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հողեր</w:t>
      </w:r>
      <w:proofErr w:type="spellEnd"/>
      <w:r>
        <w:rPr>
          <w:rFonts w:ascii="Tahoma" w:eastAsia="Times New Roman" w:hAnsi="Tahoma" w:cs="Tahoma"/>
        </w:rPr>
        <w:t xml:space="preserve">» </w:t>
      </w:r>
      <w:proofErr w:type="spellStart"/>
      <w:r>
        <w:rPr>
          <w:rFonts w:ascii="Tahoma" w:eastAsia="Times New Roman" w:hAnsi="Tahoma" w:cs="Tahoma"/>
        </w:rPr>
        <w:t>գործառնական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նշանակության</w:t>
      </w:r>
      <w:proofErr w:type="spellEnd"/>
      <w:r>
        <w:rPr>
          <w:rFonts w:ascii="Tahoma" w:eastAsia="Times New Roman" w:hAnsi="Tahoma" w:cs="Tahoma"/>
        </w:rPr>
        <w:t xml:space="preserve"> 0,11366 </w:t>
      </w:r>
      <w:proofErr w:type="spellStart"/>
      <w:r>
        <w:rPr>
          <w:rFonts w:ascii="Tahoma" w:eastAsia="Times New Roman" w:hAnsi="Tahoma" w:cs="Tahoma"/>
        </w:rPr>
        <w:t>հեկտար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հողամասը</w:t>
      </w:r>
      <w:proofErr w:type="spellEnd"/>
      <w:r>
        <w:rPr>
          <w:rFonts w:ascii="Tahoma" w:eastAsia="Times New Roman" w:hAnsi="Tahoma" w:cs="Tahoma"/>
        </w:rPr>
        <w:t xml:space="preserve"> (</w:t>
      </w:r>
      <w:proofErr w:type="spellStart"/>
      <w:r>
        <w:rPr>
          <w:rFonts w:ascii="Tahoma" w:eastAsia="Times New Roman" w:hAnsi="Tahoma" w:cs="Tahoma"/>
        </w:rPr>
        <w:t>կադաստրային</w:t>
      </w:r>
      <w:proofErr w:type="spellEnd"/>
      <w:r>
        <w:rPr>
          <w:rFonts w:ascii="Tahoma" w:eastAsia="Times New Roman" w:hAnsi="Tahoma" w:cs="Tahoma"/>
        </w:rPr>
        <w:t> </w:t>
      </w:r>
      <w:proofErr w:type="spellStart"/>
      <w:r>
        <w:rPr>
          <w:rFonts w:ascii="Tahoma" w:eastAsia="Times New Roman" w:hAnsi="Tahoma" w:cs="Tahoma"/>
        </w:rPr>
        <w:t>ծածկագիր</w:t>
      </w:r>
      <w:proofErr w:type="spellEnd"/>
      <w:r>
        <w:rPr>
          <w:rFonts w:ascii="Tahoma" w:eastAsia="Times New Roman" w:hAnsi="Tahoma" w:cs="Tahoma"/>
        </w:rPr>
        <w:t xml:space="preserve">՝ 09-003-0072-0004)   </w:t>
      </w:r>
      <w:proofErr w:type="spellStart"/>
      <w:r>
        <w:rPr>
          <w:rFonts w:ascii="Tahoma" w:eastAsia="Times New Roman" w:hAnsi="Tahoma" w:cs="Tahoma"/>
        </w:rPr>
        <w:t>փոխադրել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բնակավայրերի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կատեգորիա</w:t>
      </w:r>
      <w:proofErr w:type="spellEnd"/>
      <w:r>
        <w:rPr>
          <w:rFonts w:ascii="Tahoma" w:eastAsia="Times New Roman" w:hAnsi="Tahoma" w:cs="Tahoma"/>
        </w:rPr>
        <w:t>՝ «</w:t>
      </w:r>
      <w:proofErr w:type="spellStart"/>
      <w:r>
        <w:rPr>
          <w:rFonts w:ascii="Tahoma" w:eastAsia="Times New Roman" w:hAnsi="Tahoma" w:cs="Tahoma"/>
        </w:rPr>
        <w:t>բնակելի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կառուցապատման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հողեր</w:t>
      </w:r>
      <w:proofErr w:type="spellEnd"/>
      <w:r>
        <w:rPr>
          <w:rFonts w:ascii="Tahoma" w:eastAsia="Times New Roman" w:hAnsi="Tahoma" w:cs="Tahoma"/>
        </w:rPr>
        <w:t xml:space="preserve">» </w:t>
      </w:r>
      <w:proofErr w:type="spellStart"/>
      <w:r>
        <w:rPr>
          <w:rFonts w:ascii="Tahoma" w:eastAsia="Times New Roman" w:hAnsi="Tahoma" w:cs="Tahoma"/>
        </w:rPr>
        <w:t>գործառնական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նշանակությամբ</w:t>
      </w:r>
      <w:proofErr w:type="spellEnd"/>
      <w:r>
        <w:rPr>
          <w:rFonts w:ascii="Tahoma" w:eastAsia="Times New Roman" w:hAnsi="Tahoma" w:cs="Tahoma"/>
        </w:rPr>
        <w:t xml:space="preserve">՝  </w:t>
      </w:r>
      <w:proofErr w:type="spellStart"/>
      <w:r>
        <w:rPr>
          <w:rFonts w:ascii="Tahoma" w:eastAsia="Times New Roman" w:hAnsi="Tahoma" w:cs="Tahoma"/>
        </w:rPr>
        <w:t>ավտոտնակներ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կառուցելու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նպատակով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կառուցապատման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իրավունքով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տրամադրելու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համար</w:t>
      </w:r>
      <w:proofErr w:type="spellEnd"/>
      <w:r>
        <w:rPr>
          <w:rFonts w:ascii="Tahoma" w:eastAsia="Times New Roman" w:hAnsi="Tahoma" w:cs="Tahoma"/>
        </w:rPr>
        <w:t> (</w:t>
      </w:r>
      <w:proofErr w:type="spellStart"/>
      <w:r>
        <w:rPr>
          <w:rFonts w:ascii="Tahoma" w:eastAsia="Times New Roman" w:hAnsi="Tahoma" w:cs="Tahoma"/>
        </w:rPr>
        <w:t>համաձայն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հավելված</w:t>
      </w:r>
      <w:proofErr w:type="spellEnd"/>
      <w:r>
        <w:rPr>
          <w:rFonts w:ascii="Tahoma" w:eastAsia="Times New Roman" w:hAnsi="Tahoma" w:cs="Tahoma"/>
        </w:rPr>
        <w:t xml:space="preserve"> 1):</w:t>
      </w:r>
    </w:p>
    <w:p w:rsidR="00F72C58" w:rsidRDefault="00F72C58" w:rsidP="00F72C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332808145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Սույն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որոշման</w:t>
      </w:r>
      <w:proofErr w:type="spellEnd"/>
      <w:r>
        <w:rPr>
          <w:rFonts w:ascii="Tahoma" w:eastAsia="Times New Roman" w:hAnsi="Tahoma" w:cs="Tahoma"/>
        </w:rPr>
        <w:t xml:space="preserve"> 1-ին </w:t>
      </w:r>
      <w:proofErr w:type="spellStart"/>
      <w:r>
        <w:rPr>
          <w:rFonts w:ascii="Tahoma" w:eastAsia="Times New Roman" w:hAnsi="Tahoma" w:cs="Tahoma"/>
        </w:rPr>
        <w:t>կետով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բնակավայրերի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կատեգորիա</w:t>
      </w:r>
      <w:proofErr w:type="spellEnd"/>
      <w:r>
        <w:rPr>
          <w:rFonts w:ascii="Tahoma" w:eastAsia="Times New Roman" w:hAnsi="Tahoma" w:cs="Tahoma"/>
        </w:rPr>
        <w:t>՝ «</w:t>
      </w:r>
      <w:proofErr w:type="spellStart"/>
      <w:r>
        <w:rPr>
          <w:rFonts w:ascii="Tahoma" w:eastAsia="Times New Roman" w:hAnsi="Tahoma" w:cs="Tahoma"/>
        </w:rPr>
        <w:t>բնակելի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կառուցապատման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հողեր</w:t>
      </w:r>
      <w:proofErr w:type="spellEnd"/>
      <w:r>
        <w:rPr>
          <w:rFonts w:ascii="Tahoma" w:eastAsia="Times New Roman" w:hAnsi="Tahoma" w:cs="Tahoma"/>
        </w:rPr>
        <w:t xml:space="preserve">»  </w:t>
      </w:r>
      <w:proofErr w:type="spellStart"/>
      <w:r>
        <w:rPr>
          <w:rFonts w:ascii="Tahoma" w:eastAsia="Times New Roman" w:hAnsi="Tahoma" w:cs="Tahoma"/>
        </w:rPr>
        <w:t>փոխադրված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Գորիս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համայնքի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սեփականություն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հանդիսացող</w:t>
      </w:r>
      <w:proofErr w:type="spellEnd"/>
      <w:r>
        <w:rPr>
          <w:rFonts w:ascii="Tahoma" w:eastAsia="Times New Roman" w:hAnsi="Tahoma" w:cs="Tahoma"/>
        </w:rPr>
        <w:t xml:space="preserve">  </w:t>
      </w:r>
      <w:proofErr w:type="spellStart"/>
      <w:r>
        <w:rPr>
          <w:rFonts w:ascii="Tahoma" w:eastAsia="Times New Roman" w:hAnsi="Tahoma" w:cs="Tahoma"/>
        </w:rPr>
        <w:t>Գորիս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քաղաքի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Գետափնյա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թաղամասում</w:t>
      </w:r>
      <w:proofErr w:type="spellEnd"/>
      <w:r>
        <w:rPr>
          <w:rFonts w:ascii="Tahoma" w:eastAsia="Times New Roman" w:hAnsi="Tahoma" w:cs="Tahoma"/>
        </w:rPr>
        <w:t> </w:t>
      </w:r>
      <w:proofErr w:type="spellStart"/>
      <w:r>
        <w:rPr>
          <w:rFonts w:ascii="Tahoma" w:eastAsia="Times New Roman" w:hAnsi="Tahoma" w:cs="Tahoma"/>
        </w:rPr>
        <w:t>գտնվող</w:t>
      </w:r>
      <w:proofErr w:type="spellEnd"/>
      <w:r>
        <w:rPr>
          <w:rFonts w:ascii="Tahoma" w:eastAsia="Times New Roman" w:hAnsi="Tahoma" w:cs="Tahoma"/>
        </w:rPr>
        <w:t xml:space="preserve"> 0,11366 </w:t>
      </w:r>
      <w:proofErr w:type="spellStart"/>
      <w:r>
        <w:rPr>
          <w:rFonts w:ascii="Tahoma" w:eastAsia="Times New Roman" w:hAnsi="Tahoma" w:cs="Tahoma"/>
        </w:rPr>
        <w:t>հեկտար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մակերեսով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հողատարածքն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առանց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մրցույթի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յուրաքանչյուրին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մինչև</w:t>
      </w:r>
      <w:proofErr w:type="spellEnd"/>
      <w:r>
        <w:rPr>
          <w:rFonts w:ascii="Tahoma" w:eastAsia="Times New Roman" w:hAnsi="Tahoma" w:cs="Tahoma"/>
        </w:rPr>
        <w:t xml:space="preserve"> 20քմ </w:t>
      </w:r>
      <w:proofErr w:type="spellStart"/>
      <w:r>
        <w:rPr>
          <w:rFonts w:ascii="Tahoma" w:eastAsia="Times New Roman" w:hAnsi="Tahoma" w:cs="Tahoma"/>
        </w:rPr>
        <w:t>հողատարածք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կառուցապատման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իրավունքով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տրամադրել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ավտոտնակներ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կառուցելու</w:t>
      </w:r>
      <w:proofErr w:type="spellEnd"/>
      <w:r>
        <w:rPr>
          <w:rFonts w:ascii="Tahoma" w:eastAsia="Times New Roman" w:hAnsi="Tahoma" w:cs="Tahoma"/>
        </w:rPr>
        <w:t> </w:t>
      </w:r>
      <w:r>
        <w:rPr>
          <w:rFonts w:ascii="Tahoma" w:eastAsia="Times New Roman" w:hAnsi="Tahoma" w:cs="Tahoma"/>
          <w:lang w:val="ru-RU"/>
        </w:rPr>
        <w:t>համար</w:t>
      </w:r>
      <w:r>
        <w:rPr>
          <w:rFonts w:ascii="Tahoma" w:eastAsia="Times New Roman" w:hAnsi="Tahoma" w:cs="Tahoma"/>
        </w:rPr>
        <w:t xml:space="preserve">՝ 25 </w:t>
      </w:r>
      <w:proofErr w:type="spellStart"/>
      <w:r>
        <w:rPr>
          <w:rFonts w:ascii="Tahoma" w:eastAsia="Times New Roman" w:hAnsi="Tahoma" w:cs="Tahoma"/>
        </w:rPr>
        <w:t>տարի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ժամկետով</w:t>
      </w:r>
      <w:proofErr w:type="spellEnd"/>
      <w:r>
        <w:rPr>
          <w:rFonts w:ascii="Tahoma" w:eastAsia="Times New Roman" w:hAnsi="Tahoma" w:cs="Tahoma"/>
        </w:rPr>
        <w:t xml:space="preserve">, 1 </w:t>
      </w:r>
      <w:proofErr w:type="spellStart"/>
      <w:r>
        <w:rPr>
          <w:rFonts w:ascii="Tahoma" w:eastAsia="Times New Roman" w:hAnsi="Tahoma" w:cs="Tahoma"/>
        </w:rPr>
        <w:t>քմ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տարեկան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վարձավճար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սահմանելով</w:t>
      </w:r>
      <w:proofErr w:type="spellEnd"/>
      <w:r>
        <w:rPr>
          <w:rFonts w:ascii="Tahoma" w:eastAsia="Times New Roman" w:hAnsi="Tahoma" w:cs="Tahoma"/>
        </w:rPr>
        <w:t xml:space="preserve"> 400 </w:t>
      </w:r>
      <w:proofErr w:type="spellStart"/>
      <w:r>
        <w:rPr>
          <w:rFonts w:ascii="Tahoma" w:eastAsia="Times New Roman" w:hAnsi="Tahoma" w:cs="Tahoma"/>
        </w:rPr>
        <w:t>դրամ</w:t>
      </w:r>
      <w:proofErr w:type="spellEnd"/>
      <w:r>
        <w:rPr>
          <w:rFonts w:ascii="Tahoma" w:eastAsia="Times New Roman" w:hAnsi="Tahoma" w:cs="Tahoma"/>
        </w:rPr>
        <w:t>:</w:t>
      </w:r>
    </w:p>
    <w:p w:rsidR="00F72C58" w:rsidRDefault="00F72C58" w:rsidP="00F72C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332808145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Համայնքի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ղեկավարին</w:t>
      </w:r>
      <w:proofErr w:type="spellEnd"/>
      <w:r>
        <w:rPr>
          <w:rFonts w:ascii="Tahoma" w:eastAsia="Times New Roman" w:hAnsi="Tahoma" w:cs="Tahoma"/>
        </w:rPr>
        <w:t xml:space="preserve">՝ </w:t>
      </w:r>
      <w:proofErr w:type="spellStart"/>
      <w:r>
        <w:rPr>
          <w:rFonts w:ascii="Tahoma" w:eastAsia="Times New Roman" w:hAnsi="Tahoma" w:cs="Tahoma"/>
        </w:rPr>
        <w:t>ապահովել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սույն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որոշումից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բխող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գործառույթների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իրականացումը</w:t>
      </w:r>
      <w:proofErr w:type="spellEnd"/>
      <w:r>
        <w:rPr>
          <w:rFonts w:ascii="Tahoma" w:eastAsia="Times New Roman" w:hAnsi="Tahoma" w:cs="Tahoma"/>
        </w:rPr>
        <w:t>:</w:t>
      </w:r>
    </w:p>
    <w:sectPr w:rsidR="00F72C58" w:rsidSect="0039527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E7C"/>
    <w:multiLevelType w:val="multilevel"/>
    <w:tmpl w:val="916C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C58"/>
    <w:rsid w:val="00277935"/>
    <w:rsid w:val="00F7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C5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F72C58"/>
    <w:rPr>
      <w:b/>
      <w:bCs/>
    </w:rPr>
  </w:style>
  <w:style w:type="character" w:styleId="a5">
    <w:name w:val="Emphasis"/>
    <w:basedOn w:val="a0"/>
    <w:uiPriority w:val="20"/>
    <w:qFormat/>
    <w:rsid w:val="00F72C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8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192.168.0.12/images/DocFlow/Line_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2023-04-11T08:51:00Z</dcterms:created>
  <dcterms:modified xsi:type="dcterms:W3CDTF">2023-04-11T08:52:00Z</dcterms:modified>
</cp:coreProperties>
</file>